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4AF" w:rsidRPr="004034AF" w:rsidRDefault="004034AF" w:rsidP="004034AF">
      <w:pPr>
        <w:shd w:val="clear" w:color="auto" w:fill="FFFFFF"/>
        <w:spacing w:after="0" w:line="240" w:lineRule="auto"/>
        <w:outlineLvl w:val="0"/>
        <w:rPr>
          <w:rFonts w:ascii="Arial" w:eastAsia="Times New Roman" w:hAnsi="Arial" w:cs="Arial"/>
          <w:b/>
          <w:bCs/>
          <w:color w:val="003366"/>
          <w:kern w:val="36"/>
          <w:sz w:val="32"/>
          <w:szCs w:val="32"/>
        </w:rPr>
      </w:pPr>
      <w:r w:rsidRPr="004034AF">
        <w:rPr>
          <w:rFonts w:ascii="Arial" w:eastAsia="Times New Roman" w:hAnsi="Arial" w:cs="Arial"/>
          <w:b/>
          <w:bCs/>
          <w:color w:val="003366"/>
          <w:kern w:val="36"/>
          <w:sz w:val="32"/>
          <w:szCs w:val="32"/>
        </w:rPr>
        <w:t>Return to Work / Stay at Work</w:t>
      </w:r>
    </w:p>
    <w:p w:rsidR="004034AF" w:rsidRPr="004034AF" w:rsidRDefault="004034AF" w:rsidP="004034AF">
      <w:pPr>
        <w:shd w:val="clear" w:color="auto" w:fill="FFFFFF"/>
        <w:spacing w:after="0" w:line="336" w:lineRule="atLeast"/>
        <w:rPr>
          <w:rFonts w:ascii="Arial" w:eastAsia="Times New Roman" w:hAnsi="Arial" w:cs="Arial"/>
          <w:color w:val="000000"/>
          <w:sz w:val="23"/>
          <w:szCs w:val="23"/>
        </w:rPr>
      </w:pPr>
      <w:hyperlink r:id="rId5" w:tooltip="Informacion Sobre el Regreso al Trabajo en Espa&amp;ntilde;ol" w:history="1">
        <w:proofErr w:type="spellStart"/>
        <w:r w:rsidRPr="004034AF">
          <w:rPr>
            <w:rFonts w:ascii="Arial" w:eastAsia="Times New Roman" w:hAnsi="Arial" w:cs="Arial"/>
            <w:color w:val="880088"/>
            <w:sz w:val="23"/>
            <w:szCs w:val="23"/>
            <w:u w:val="single"/>
          </w:rPr>
          <w:t>Información</w:t>
        </w:r>
        <w:proofErr w:type="spellEnd"/>
        <w:r w:rsidRPr="004034AF">
          <w:rPr>
            <w:rFonts w:ascii="Arial" w:eastAsia="Times New Roman" w:hAnsi="Arial" w:cs="Arial"/>
            <w:color w:val="880088"/>
            <w:sz w:val="23"/>
            <w:szCs w:val="23"/>
            <w:u w:val="single"/>
          </w:rPr>
          <w:t xml:space="preserve"> </w:t>
        </w:r>
        <w:proofErr w:type="spellStart"/>
        <w:r w:rsidRPr="004034AF">
          <w:rPr>
            <w:rFonts w:ascii="Arial" w:eastAsia="Times New Roman" w:hAnsi="Arial" w:cs="Arial"/>
            <w:color w:val="880088"/>
            <w:sz w:val="23"/>
            <w:szCs w:val="23"/>
            <w:u w:val="single"/>
          </w:rPr>
          <w:t>Sobre</w:t>
        </w:r>
        <w:proofErr w:type="spellEnd"/>
        <w:r w:rsidRPr="004034AF">
          <w:rPr>
            <w:rFonts w:ascii="Arial" w:eastAsia="Times New Roman" w:hAnsi="Arial" w:cs="Arial"/>
            <w:color w:val="880088"/>
            <w:sz w:val="23"/>
            <w:szCs w:val="23"/>
            <w:u w:val="single"/>
          </w:rPr>
          <w:t xml:space="preserve"> el </w:t>
        </w:r>
        <w:proofErr w:type="spellStart"/>
        <w:r w:rsidRPr="004034AF">
          <w:rPr>
            <w:rFonts w:ascii="Arial" w:eastAsia="Times New Roman" w:hAnsi="Arial" w:cs="Arial"/>
            <w:color w:val="880088"/>
            <w:sz w:val="23"/>
            <w:szCs w:val="23"/>
            <w:u w:val="single"/>
          </w:rPr>
          <w:t>Regreso</w:t>
        </w:r>
        <w:proofErr w:type="spellEnd"/>
        <w:r w:rsidRPr="004034AF">
          <w:rPr>
            <w:rFonts w:ascii="Arial" w:eastAsia="Times New Roman" w:hAnsi="Arial" w:cs="Arial"/>
            <w:color w:val="880088"/>
            <w:sz w:val="23"/>
            <w:szCs w:val="23"/>
            <w:u w:val="single"/>
          </w:rPr>
          <w:t xml:space="preserve"> al </w:t>
        </w:r>
        <w:proofErr w:type="spellStart"/>
        <w:r w:rsidRPr="004034AF">
          <w:rPr>
            <w:rFonts w:ascii="Arial" w:eastAsia="Times New Roman" w:hAnsi="Arial" w:cs="Arial"/>
            <w:color w:val="880088"/>
            <w:sz w:val="23"/>
            <w:szCs w:val="23"/>
            <w:u w:val="single"/>
          </w:rPr>
          <w:t>Trabajo</w:t>
        </w:r>
        <w:proofErr w:type="spellEnd"/>
        <w:r w:rsidRPr="004034AF">
          <w:rPr>
            <w:rFonts w:ascii="Arial" w:eastAsia="Times New Roman" w:hAnsi="Arial" w:cs="Arial"/>
            <w:color w:val="880088"/>
            <w:sz w:val="23"/>
            <w:szCs w:val="23"/>
            <w:u w:val="single"/>
          </w:rPr>
          <w:t xml:space="preserve"> </w:t>
        </w:r>
        <w:proofErr w:type="spellStart"/>
        <w:r w:rsidRPr="004034AF">
          <w:rPr>
            <w:rFonts w:ascii="Arial" w:eastAsia="Times New Roman" w:hAnsi="Arial" w:cs="Arial"/>
            <w:color w:val="880088"/>
            <w:sz w:val="23"/>
            <w:szCs w:val="23"/>
            <w:u w:val="single"/>
          </w:rPr>
          <w:t>en</w:t>
        </w:r>
        <w:proofErr w:type="spellEnd"/>
        <w:r w:rsidRPr="004034AF">
          <w:rPr>
            <w:rFonts w:ascii="Arial" w:eastAsia="Times New Roman" w:hAnsi="Arial" w:cs="Arial"/>
            <w:color w:val="880088"/>
            <w:sz w:val="23"/>
            <w:szCs w:val="23"/>
            <w:u w:val="single"/>
          </w:rPr>
          <w:t xml:space="preserve"> </w:t>
        </w:r>
        <w:proofErr w:type="spellStart"/>
        <w:r w:rsidRPr="004034AF">
          <w:rPr>
            <w:rFonts w:ascii="Arial" w:eastAsia="Times New Roman" w:hAnsi="Arial" w:cs="Arial"/>
            <w:color w:val="880088"/>
            <w:sz w:val="23"/>
            <w:szCs w:val="23"/>
            <w:u w:val="single"/>
          </w:rPr>
          <w:t>Español</w:t>
        </w:r>
        <w:proofErr w:type="spellEnd"/>
      </w:hyperlink>
    </w:p>
    <w:p w:rsidR="004034AF" w:rsidRPr="004034AF" w:rsidRDefault="004034AF" w:rsidP="004034AF">
      <w:pPr>
        <w:shd w:val="clear" w:color="auto" w:fill="FFFFFF"/>
        <w:spacing w:after="225" w:line="336" w:lineRule="atLeast"/>
        <w:rPr>
          <w:rFonts w:ascii="Arial" w:eastAsia="Times New Roman" w:hAnsi="Arial" w:cs="Arial"/>
          <w:color w:val="000000"/>
          <w:sz w:val="23"/>
          <w:szCs w:val="23"/>
        </w:rPr>
      </w:pPr>
      <w:r w:rsidRPr="004034AF">
        <w:rPr>
          <w:rFonts w:ascii="Arial" w:eastAsia="Times New Roman" w:hAnsi="Arial" w:cs="Arial"/>
          <w:color w:val="000000"/>
          <w:sz w:val="23"/>
          <w:szCs w:val="23"/>
        </w:rPr>
        <w:t>The timely return of injured employees to productive roles in the Texas workforce is one of the key components of the Division of Workers' Compensation's (DWC's) mission. Return to work is a responsibility shared by employers, employees, health care providers, insurance carriers and the DWC.</w:t>
      </w:r>
    </w:p>
    <w:p w:rsidR="004034AF" w:rsidRPr="004034AF" w:rsidRDefault="004034AF" w:rsidP="004034AF">
      <w:pPr>
        <w:shd w:val="clear" w:color="auto" w:fill="FFFFFF"/>
        <w:spacing w:after="225" w:line="336" w:lineRule="atLeast"/>
        <w:rPr>
          <w:rFonts w:ascii="Arial" w:eastAsia="Times New Roman" w:hAnsi="Arial" w:cs="Arial"/>
          <w:color w:val="000000"/>
          <w:sz w:val="23"/>
          <w:szCs w:val="23"/>
        </w:rPr>
      </w:pPr>
      <w:r w:rsidRPr="004034AF">
        <w:rPr>
          <w:rFonts w:ascii="Arial" w:eastAsia="Times New Roman" w:hAnsi="Arial" w:cs="Arial"/>
          <w:color w:val="000000"/>
          <w:sz w:val="23"/>
          <w:szCs w:val="23"/>
        </w:rPr>
        <w:t>The longer an employee is away from work after an injury, the harder it is for him or her to get back to work at all; and the longer an employee is away from work, the higher are the employer's workers' compensation costs and related business costs.</w:t>
      </w:r>
    </w:p>
    <w:p w:rsidR="004034AF" w:rsidRPr="004034AF" w:rsidRDefault="004034AF" w:rsidP="004034AF">
      <w:pPr>
        <w:shd w:val="clear" w:color="auto" w:fill="FFFFFF"/>
        <w:spacing w:after="225" w:line="336" w:lineRule="atLeast"/>
        <w:rPr>
          <w:rFonts w:ascii="Arial" w:eastAsia="Times New Roman" w:hAnsi="Arial" w:cs="Arial"/>
          <w:color w:val="000000"/>
          <w:sz w:val="23"/>
          <w:szCs w:val="23"/>
        </w:rPr>
      </w:pPr>
      <w:r w:rsidRPr="004034AF">
        <w:rPr>
          <w:rFonts w:ascii="Arial" w:eastAsia="Times New Roman" w:hAnsi="Arial" w:cs="Arial"/>
          <w:color w:val="000000"/>
          <w:sz w:val="23"/>
          <w:szCs w:val="23"/>
        </w:rPr>
        <w:t>The following information is provided to help employers, injured employees and health care providers appreciate the benefits of return to work and to guide them in fulfilling their respective roles. The employer resources assist employers to create and implement effective return-to-work procedures--a key element in returning injured employees to productive work.</w:t>
      </w:r>
    </w:p>
    <w:p w:rsidR="004034AF" w:rsidRPr="004034AF" w:rsidRDefault="004034AF" w:rsidP="004034AF">
      <w:pPr>
        <w:spacing w:after="0" w:line="240" w:lineRule="auto"/>
        <w:rPr>
          <w:rFonts w:ascii="Times New Roman" w:eastAsia="Times New Roman" w:hAnsi="Times New Roman" w:cs="Times New Roman"/>
          <w:sz w:val="24"/>
          <w:szCs w:val="24"/>
        </w:rPr>
      </w:pPr>
      <w:r w:rsidRPr="004034AF">
        <w:rPr>
          <w:rFonts w:ascii="Arial" w:eastAsia="Times New Roman" w:hAnsi="Arial" w:cs="Arial"/>
          <w:color w:val="000000"/>
          <w:sz w:val="23"/>
          <w:szCs w:val="23"/>
        </w:rPr>
        <w:br/>
      </w:r>
    </w:p>
    <w:p w:rsidR="004034AF" w:rsidRPr="004034AF" w:rsidRDefault="004034AF" w:rsidP="004034AF">
      <w:pPr>
        <w:shd w:val="clear" w:color="auto" w:fill="FFFFFF"/>
        <w:spacing w:after="0" w:line="336" w:lineRule="atLeast"/>
        <w:rPr>
          <w:rFonts w:ascii="Arial" w:eastAsia="Times New Roman" w:hAnsi="Arial" w:cs="Arial"/>
          <w:color w:val="000000"/>
          <w:sz w:val="23"/>
          <w:szCs w:val="23"/>
        </w:rPr>
      </w:pPr>
      <w:hyperlink r:id="rId6" w:anchor="aboutrtw" w:history="1">
        <w:r w:rsidRPr="004034AF">
          <w:rPr>
            <w:rFonts w:ascii="Arial" w:eastAsia="Times New Roman" w:hAnsi="Arial" w:cs="Arial"/>
            <w:b/>
            <w:bCs/>
            <w:color w:val="880088"/>
            <w:sz w:val="23"/>
            <w:szCs w:val="23"/>
            <w:u w:val="single"/>
          </w:rPr>
          <w:t>About</w:t>
        </w:r>
      </w:hyperlink>
      <w:r w:rsidRPr="004034AF">
        <w:rPr>
          <w:rFonts w:ascii="Arial" w:eastAsia="Times New Roman" w:hAnsi="Arial" w:cs="Arial"/>
          <w:color w:val="000000"/>
          <w:sz w:val="23"/>
          <w:szCs w:val="23"/>
        </w:rPr>
        <w:t> </w:t>
      </w:r>
      <w:r w:rsidRPr="004034AF">
        <w:rPr>
          <w:rFonts w:ascii="Arial" w:eastAsia="Times New Roman" w:hAnsi="Arial" w:cs="Arial"/>
          <w:b/>
          <w:bCs/>
          <w:color w:val="000000"/>
          <w:sz w:val="23"/>
          <w:szCs w:val="23"/>
        </w:rPr>
        <w:t>|</w:t>
      </w:r>
      <w:r w:rsidRPr="004034AF">
        <w:rPr>
          <w:rFonts w:ascii="Arial" w:eastAsia="Times New Roman" w:hAnsi="Arial" w:cs="Arial"/>
          <w:color w:val="000000"/>
          <w:sz w:val="23"/>
          <w:szCs w:val="23"/>
        </w:rPr>
        <w:t> </w:t>
      </w:r>
      <w:hyperlink r:id="rId7" w:anchor="forms" w:history="1">
        <w:r w:rsidRPr="004034AF">
          <w:rPr>
            <w:rFonts w:ascii="Arial" w:eastAsia="Times New Roman" w:hAnsi="Arial" w:cs="Arial"/>
            <w:b/>
            <w:bCs/>
            <w:color w:val="880088"/>
            <w:sz w:val="23"/>
            <w:szCs w:val="23"/>
            <w:u w:val="single"/>
          </w:rPr>
          <w:t>Forms</w:t>
        </w:r>
      </w:hyperlink>
      <w:r w:rsidRPr="004034AF">
        <w:rPr>
          <w:rFonts w:ascii="Arial" w:eastAsia="Times New Roman" w:hAnsi="Arial" w:cs="Arial"/>
          <w:color w:val="000000"/>
          <w:sz w:val="23"/>
          <w:szCs w:val="23"/>
        </w:rPr>
        <w:t> </w:t>
      </w:r>
      <w:r w:rsidRPr="004034AF">
        <w:rPr>
          <w:rFonts w:ascii="Arial" w:eastAsia="Times New Roman" w:hAnsi="Arial" w:cs="Arial"/>
          <w:b/>
          <w:bCs/>
          <w:color w:val="000000"/>
          <w:sz w:val="23"/>
          <w:szCs w:val="23"/>
        </w:rPr>
        <w:t>|</w:t>
      </w:r>
      <w:r w:rsidRPr="004034AF">
        <w:rPr>
          <w:rFonts w:ascii="Arial" w:eastAsia="Times New Roman" w:hAnsi="Arial" w:cs="Arial"/>
          <w:color w:val="000000"/>
          <w:sz w:val="23"/>
          <w:szCs w:val="23"/>
        </w:rPr>
        <w:t> </w:t>
      </w:r>
      <w:hyperlink r:id="rId8" w:anchor="rules" w:history="1">
        <w:r w:rsidRPr="004034AF">
          <w:rPr>
            <w:rFonts w:ascii="Arial" w:eastAsia="Times New Roman" w:hAnsi="Arial" w:cs="Arial"/>
            <w:b/>
            <w:bCs/>
            <w:color w:val="880088"/>
            <w:sz w:val="23"/>
            <w:szCs w:val="23"/>
            <w:u w:val="single"/>
          </w:rPr>
          <w:t>Rules</w:t>
        </w:r>
      </w:hyperlink>
      <w:r w:rsidRPr="004034AF">
        <w:rPr>
          <w:rFonts w:ascii="Arial" w:eastAsia="Times New Roman" w:hAnsi="Arial" w:cs="Arial"/>
          <w:color w:val="000000"/>
          <w:sz w:val="23"/>
          <w:szCs w:val="23"/>
        </w:rPr>
        <w:t> </w:t>
      </w:r>
      <w:r w:rsidRPr="004034AF">
        <w:rPr>
          <w:rFonts w:ascii="Arial" w:eastAsia="Times New Roman" w:hAnsi="Arial" w:cs="Arial"/>
          <w:b/>
          <w:bCs/>
          <w:color w:val="000000"/>
          <w:sz w:val="23"/>
          <w:szCs w:val="23"/>
        </w:rPr>
        <w:t>|</w:t>
      </w:r>
      <w:r w:rsidRPr="004034AF">
        <w:rPr>
          <w:rFonts w:ascii="Arial" w:eastAsia="Times New Roman" w:hAnsi="Arial" w:cs="Arial"/>
          <w:color w:val="000000"/>
          <w:sz w:val="23"/>
          <w:szCs w:val="23"/>
        </w:rPr>
        <w:t> </w:t>
      </w:r>
      <w:hyperlink r:id="rId9" w:anchor="tools" w:history="1">
        <w:r w:rsidRPr="004034AF">
          <w:rPr>
            <w:rFonts w:ascii="Arial" w:eastAsia="Times New Roman" w:hAnsi="Arial" w:cs="Arial"/>
            <w:b/>
            <w:bCs/>
            <w:color w:val="880088"/>
            <w:sz w:val="23"/>
            <w:szCs w:val="23"/>
            <w:u w:val="single"/>
          </w:rPr>
          <w:t>Tools</w:t>
        </w:r>
      </w:hyperlink>
    </w:p>
    <w:p w:rsidR="004034AF" w:rsidRPr="004034AF" w:rsidRDefault="004034AF" w:rsidP="004034AF">
      <w:pPr>
        <w:spacing w:after="0" w:line="240" w:lineRule="auto"/>
        <w:rPr>
          <w:rFonts w:ascii="Times New Roman" w:eastAsia="Times New Roman" w:hAnsi="Times New Roman" w:cs="Times New Roman"/>
          <w:sz w:val="24"/>
          <w:szCs w:val="24"/>
        </w:rPr>
      </w:pPr>
      <w:r w:rsidRPr="004034AF">
        <w:rPr>
          <w:rFonts w:ascii="Arial" w:eastAsia="Times New Roman" w:hAnsi="Arial" w:cs="Arial"/>
          <w:color w:val="000000"/>
          <w:sz w:val="23"/>
          <w:szCs w:val="23"/>
        </w:rPr>
        <w:br/>
      </w:r>
    </w:p>
    <w:p w:rsidR="004034AF" w:rsidRPr="004034AF" w:rsidRDefault="004034AF" w:rsidP="004034AF">
      <w:pPr>
        <w:shd w:val="clear" w:color="auto" w:fill="FFFFFF"/>
        <w:spacing w:after="0" w:line="240" w:lineRule="auto"/>
        <w:outlineLvl w:val="1"/>
        <w:rPr>
          <w:rFonts w:ascii="Arial" w:eastAsia="Times New Roman" w:hAnsi="Arial" w:cs="Arial"/>
          <w:b/>
          <w:bCs/>
          <w:color w:val="003366"/>
          <w:sz w:val="29"/>
          <w:szCs w:val="29"/>
        </w:rPr>
      </w:pPr>
      <w:r w:rsidRPr="004034AF">
        <w:rPr>
          <w:rFonts w:ascii="Arial" w:eastAsia="Times New Roman" w:hAnsi="Arial" w:cs="Arial"/>
          <w:b/>
          <w:bCs/>
          <w:color w:val="003366"/>
          <w:sz w:val="29"/>
          <w:szCs w:val="29"/>
        </w:rPr>
        <w:t>About Return to Work</w:t>
      </w:r>
    </w:p>
    <w:p w:rsidR="004034AF" w:rsidRPr="004034AF" w:rsidRDefault="004034AF" w:rsidP="004034AF">
      <w:pPr>
        <w:numPr>
          <w:ilvl w:val="0"/>
          <w:numId w:val="1"/>
        </w:numPr>
        <w:shd w:val="clear" w:color="auto" w:fill="FFFFFF"/>
        <w:spacing w:beforeAutospacing="1" w:after="0" w:afterAutospacing="1" w:line="336" w:lineRule="atLeast"/>
        <w:rPr>
          <w:rFonts w:ascii="Arial" w:eastAsia="Times New Roman" w:hAnsi="Arial" w:cs="Arial"/>
          <w:color w:val="000000"/>
          <w:sz w:val="23"/>
          <w:szCs w:val="23"/>
        </w:rPr>
      </w:pPr>
      <w:hyperlink r:id="rId10" w:tooltip="Injured Employee Frequently Asked Questions" w:history="1">
        <w:r w:rsidRPr="004034AF">
          <w:rPr>
            <w:rFonts w:ascii="Arial" w:eastAsia="Times New Roman" w:hAnsi="Arial" w:cs="Arial"/>
            <w:color w:val="880088"/>
            <w:sz w:val="23"/>
            <w:szCs w:val="23"/>
            <w:u w:val="single"/>
          </w:rPr>
          <w:t>Frequently-Asked Questions</w:t>
        </w:r>
      </w:hyperlink>
    </w:p>
    <w:p w:rsidR="004034AF" w:rsidRPr="004034AF" w:rsidRDefault="004034AF" w:rsidP="004034AF">
      <w:pPr>
        <w:numPr>
          <w:ilvl w:val="0"/>
          <w:numId w:val="1"/>
        </w:numPr>
        <w:shd w:val="clear" w:color="auto" w:fill="FFFFFF"/>
        <w:spacing w:beforeAutospacing="1" w:after="0" w:afterAutospacing="1" w:line="336" w:lineRule="atLeast"/>
        <w:rPr>
          <w:rFonts w:ascii="Arial" w:eastAsia="Times New Roman" w:hAnsi="Arial" w:cs="Arial"/>
          <w:color w:val="000000"/>
          <w:sz w:val="23"/>
          <w:szCs w:val="23"/>
        </w:rPr>
      </w:pPr>
      <w:hyperlink r:id="rId11" w:history="1">
        <w:r w:rsidRPr="004034AF">
          <w:rPr>
            <w:rFonts w:ascii="Arial" w:eastAsia="Times New Roman" w:hAnsi="Arial" w:cs="Arial"/>
            <w:color w:val="880088"/>
            <w:sz w:val="23"/>
            <w:szCs w:val="23"/>
            <w:u w:val="single"/>
          </w:rPr>
          <w:t>Effective Return-to-Work Practices for Employers</w:t>
        </w:r>
      </w:hyperlink>
    </w:p>
    <w:p w:rsidR="004034AF" w:rsidRPr="004034AF" w:rsidRDefault="004034AF" w:rsidP="004034AF">
      <w:pPr>
        <w:numPr>
          <w:ilvl w:val="0"/>
          <w:numId w:val="1"/>
        </w:numPr>
        <w:shd w:val="clear" w:color="auto" w:fill="FFFFFF"/>
        <w:spacing w:beforeAutospacing="1" w:after="0" w:afterAutospacing="1" w:line="336" w:lineRule="atLeast"/>
        <w:rPr>
          <w:rFonts w:ascii="Arial" w:eastAsia="Times New Roman" w:hAnsi="Arial" w:cs="Arial"/>
          <w:color w:val="000000"/>
          <w:sz w:val="23"/>
          <w:szCs w:val="23"/>
        </w:rPr>
      </w:pPr>
      <w:hyperlink r:id="rId12" w:tooltip="Return to Work Reimbursement Program for Employers" w:history="1">
        <w:r w:rsidRPr="004034AF">
          <w:rPr>
            <w:rFonts w:ascii="Arial" w:eastAsia="Times New Roman" w:hAnsi="Arial" w:cs="Arial"/>
            <w:color w:val="880088"/>
            <w:sz w:val="23"/>
            <w:szCs w:val="23"/>
            <w:u w:val="single"/>
          </w:rPr>
          <w:t>About the Return-to-Work Reimbursement Program for Employers</w:t>
        </w:r>
      </w:hyperlink>
      <w:r w:rsidRPr="004034AF">
        <w:rPr>
          <w:rFonts w:ascii="Arial" w:eastAsia="Times New Roman" w:hAnsi="Arial" w:cs="Arial"/>
          <w:color w:val="000000"/>
          <w:sz w:val="23"/>
          <w:szCs w:val="23"/>
        </w:rPr>
        <w:t> (PDF)</w:t>
      </w:r>
    </w:p>
    <w:p w:rsidR="004034AF" w:rsidRPr="004034AF" w:rsidRDefault="004034AF" w:rsidP="004034AF">
      <w:pPr>
        <w:shd w:val="clear" w:color="auto" w:fill="FFFFFF"/>
        <w:spacing w:after="0" w:line="240" w:lineRule="auto"/>
        <w:outlineLvl w:val="1"/>
        <w:rPr>
          <w:rFonts w:ascii="Arial" w:eastAsia="Times New Roman" w:hAnsi="Arial" w:cs="Arial"/>
          <w:b/>
          <w:bCs/>
          <w:color w:val="003366"/>
          <w:sz w:val="29"/>
          <w:szCs w:val="29"/>
        </w:rPr>
      </w:pPr>
      <w:r w:rsidRPr="004034AF">
        <w:rPr>
          <w:rFonts w:ascii="Arial" w:eastAsia="Times New Roman" w:hAnsi="Arial" w:cs="Arial"/>
          <w:b/>
          <w:bCs/>
          <w:color w:val="003366"/>
          <w:sz w:val="29"/>
          <w:szCs w:val="29"/>
        </w:rPr>
        <w:t>Return-to-Work Forms</w:t>
      </w:r>
    </w:p>
    <w:p w:rsidR="004034AF" w:rsidRPr="004034AF" w:rsidRDefault="004034AF" w:rsidP="004034AF">
      <w:pPr>
        <w:numPr>
          <w:ilvl w:val="0"/>
          <w:numId w:val="2"/>
        </w:numPr>
        <w:shd w:val="clear" w:color="auto" w:fill="FFFFFF"/>
        <w:spacing w:beforeAutospacing="1" w:after="0" w:afterAutospacing="1" w:line="336" w:lineRule="atLeast"/>
        <w:rPr>
          <w:rFonts w:ascii="Arial" w:eastAsia="Times New Roman" w:hAnsi="Arial" w:cs="Arial"/>
          <w:color w:val="000000"/>
          <w:sz w:val="23"/>
          <w:szCs w:val="23"/>
        </w:rPr>
      </w:pPr>
      <w:hyperlink r:id="rId13" w:tooltip="Form DWC001 - Employer's First Report of Injury or Illness" w:history="1">
        <w:r w:rsidRPr="004034AF">
          <w:rPr>
            <w:rFonts w:ascii="Arial" w:eastAsia="Times New Roman" w:hAnsi="Arial" w:cs="Arial"/>
            <w:color w:val="880088"/>
            <w:sz w:val="23"/>
            <w:szCs w:val="23"/>
            <w:u w:val="single"/>
          </w:rPr>
          <w:t>DWC Form-001, Employer's First Report of Injury or Illness</w:t>
        </w:r>
      </w:hyperlink>
      <w:r w:rsidRPr="004034AF">
        <w:rPr>
          <w:rFonts w:ascii="Arial" w:eastAsia="Times New Roman" w:hAnsi="Arial" w:cs="Arial"/>
          <w:color w:val="000000"/>
          <w:sz w:val="23"/>
          <w:szCs w:val="23"/>
        </w:rPr>
        <w:t> (PDF)</w:t>
      </w:r>
    </w:p>
    <w:p w:rsidR="004034AF" w:rsidRPr="004034AF" w:rsidRDefault="004034AF" w:rsidP="004034AF">
      <w:pPr>
        <w:numPr>
          <w:ilvl w:val="0"/>
          <w:numId w:val="2"/>
        </w:numPr>
        <w:shd w:val="clear" w:color="auto" w:fill="FFFFFF"/>
        <w:spacing w:beforeAutospacing="1" w:after="0" w:afterAutospacing="1" w:line="336" w:lineRule="atLeast"/>
        <w:rPr>
          <w:rFonts w:ascii="Arial" w:eastAsia="Times New Roman" w:hAnsi="Arial" w:cs="Arial"/>
          <w:color w:val="000000"/>
          <w:sz w:val="23"/>
          <w:szCs w:val="23"/>
        </w:rPr>
      </w:pPr>
      <w:hyperlink r:id="rId14" w:anchor="dwc008" w:tooltip="DWC Form-008, Return-to-Work Reimbursement Program for Employers" w:history="1">
        <w:r w:rsidRPr="004034AF">
          <w:rPr>
            <w:rFonts w:ascii="Arial" w:eastAsia="Times New Roman" w:hAnsi="Arial" w:cs="Arial"/>
            <w:color w:val="880088"/>
            <w:sz w:val="23"/>
            <w:szCs w:val="23"/>
            <w:u w:val="single"/>
          </w:rPr>
          <w:t>DWC Form-008, Return-to-Work Reimbursement Program for Employers</w:t>
        </w:r>
      </w:hyperlink>
    </w:p>
    <w:p w:rsidR="004034AF" w:rsidRPr="004034AF" w:rsidRDefault="004034AF" w:rsidP="004034AF">
      <w:pPr>
        <w:numPr>
          <w:ilvl w:val="0"/>
          <w:numId w:val="2"/>
        </w:numPr>
        <w:shd w:val="clear" w:color="auto" w:fill="FFFFFF"/>
        <w:spacing w:beforeAutospacing="1" w:after="0" w:afterAutospacing="1" w:line="336" w:lineRule="atLeast"/>
        <w:rPr>
          <w:rFonts w:ascii="Arial" w:eastAsia="Times New Roman" w:hAnsi="Arial" w:cs="Arial"/>
          <w:color w:val="000000"/>
          <w:sz w:val="23"/>
          <w:szCs w:val="23"/>
        </w:rPr>
      </w:pPr>
      <w:hyperlink r:id="rId15" w:tooltip="DWC Form-073 - Texas Workers' Compensation Work Status Report" w:history="1">
        <w:r w:rsidRPr="004034AF">
          <w:rPr>
            <w:rFonts w:ascii="Arial" w:eastAsia="Times New Roman" w:hAnsi="Arial" w:cs="Arial"/>
            <w:color w:val="880088"/>
            <w:sz w:val="23"/>
            <w:szCs w:val="23"/>
            <w:u w:val="single"/>
          </w:rPr>
          <w:t>DWC Form-073 - Work Status Report</w:t>
        </w:r>
      </w:hyperlink>
      <w:r w:rsidRPr="004034AF">
        <w:rPr>
          <w:rFonts w:ascii="Arial" w:eastAsia="Times New Roman" w:hAnsi="Arial" w:cs="Arial"/>
          <w:color w:val="000000"/>
          <w:sz w:val="23"/>
          <w:szCs w:val="23"/>
        </w:rPr>
        <w:t> (PDF)</w:t>
      </w:r>
    </w:p>
    <w:p w:rsidR="004034AF" w:rsidRPr="004034AF" w:rsidRDefault="004034AF" w:rsidP="004034AF">
      <w:pPr>
        <w:numPr>
          <w:ilvl w:val="0"/>
          <w:numId w:val="2"/>
        </w:numPr>
        <w:shd w:val="clear" w:color="auto" w:fill="FFFFFF"/>
        <w:spacing w:beforeAutospacing="1" w:after="0" w:afterAutospacing="1" w:line="336" w:lineRule="atLeast"/>
        <w:rPr>
          <w:rFonts w:ascii="Arial" w:eastAsia="Times New Roman" w:hAnsi="Arial" w:cs="Arial"/>
          <w:color w:val="000000"/>
          <w:sz w:val="23"/>
          <w:szCs w:val="23"/>
        </w:rPr>
      </w:pPr>
      <w:hyperlink r:id="rId16" w:tooltip="DWC Form-074, Description of Injured Employee's Employment" w:history="1">
        <w:r w:rsidRPr="004034AF">
          <w:rPr>
            <w:rFonts w:ascii="Arial" w:eastAsia="Times New Roman" w:hAnsi="Arial" w:cs="Arial"/>
            <w:color w:val="880088"/>
            <w:sz w:val="23"/>
            <w:szCs w:val="23"/>
            <w:u w:val="single"/>
          </w:rPr>
          <w:t>DWC Form-074, Description of Injured Employee's Employment</w:t>
        </w:r>
      </w:hyperlink>
    </w:p>
    <w:p w:rsidR="004034AF" w:rsidRPr="004034AF" w:rsidRDefault="004034AF" w:rsidP="004034AF">
      <w:pPr>
        <w:shd w:val="clear" w:color="auto" w:fill="FFFFFF"/>
        <w:spacing w:after="0" w:line="240" w:lineRule="auto"/>
        <w:outlineLvl w:val="1"/>
        <w:rPr>
          <w:rFonts w:ascii="Arial" w:eastAsia="Times New Roman" w:hAnsi="Arial" w:cs="Arial"/>
          <w:b/>
          <w:bCs/>
          <w:color w:val="003366"/>
          <w:sz w:val="29"/>
          <w:szCs w:val="29"/>
        </w:rPr>
      </w:pPr>
      <w:r w:rsidRPr="004034AF">
        <w:rPr>
          <w:rFonts w:ascii="Arial" w:eastAsia="Times New Roman" w:hAnsi="Arial" w:cs="Arial"/>
          <w:b/>
          <w:bCs/>
          <w:color w:val="003366"/>
          <w:sz w:val="29"/>
          <w:szCs w:val="29"/>
        </w:rPr>
        <w:t>Return-to-Work Rules</w:t>
      </w:r>
    </w:p>
    <w:p w:rsidR="004034AF" w:rsidRPr="004034AF" w:rsidRDefault="004034AF" w:rsidP="004034AF">
      <w:pPr>
        <w:numPr>
          <w:ilvl w:val="0"/>
          <w:numId w:val="3"/>
        </w:numPr>
        <w:shd w:val="clear" w:color="auto" w:fill="FFFFFF"/>
        <w:spacing w:beforeAutospacing="1" w:after="0" w:afterAutospacing="1" w:line="336" w:lineRule="atLeast"/>
        <w:rPr>
          <w:rFonts w:ascii="Arial" w:eastAsia="Times New Roman" w:hAnsi="Arial" w:cs="Arial"/>
          <w:color w:val="000000"/>
          <w:sz w:val="23"/>
          <w:szCs w:val="23"/>
        </w:rPr>
      </w:pPr>
      <w:hyperlink r:id="rId17" w:history="1">
        <w:r w:rsidRPr="004034AF">
          <w:rPr>
            <w:rFonts w:ascii="Arial" w:eastAsia="Times New Roman" w:hAnsi="Arial" w:cs="Arial"/>
            <w:color w:val="880088"/>
            <w:sz w:val="23"/>
            <w:szCs w:val="23"/>
            <w:u w:val="single"/>
          </w:rPr>
          <w:t>28 Texas Administrative Code (TAC) Chapter 137, Subchapter B--Return-to-Work</w:t>
        </w:r>
      </w:hyperlink>
    </w:p>
    <w:p w:rsidR="004034AF" w:rsidRPr="004034AF" w:rsidRDefault="004034AF" w:rsidP="004034AF">
      <w:pPr>
        <w:numPr>
          <w:ilvl w:val="0"/>
          <w:numId w:val="3"/>
        </w:numPr>
        <w:shd w:val="clear" w:color="auto" w:fill="FFFFFF"/>
        <w:spacing w:beforeAutospacing="1" w:after="0" w:afterAutospacing="1" w:line="336" w:lineRule="atLeast"/>
        <w:rPr>
          <w:rFonts w:ascii="Arial" w:eastAsia="Times New Roman" w:hAnsi="Arial" w:cs="Arial"/>
          <w:color w:val="000000"/>
          <w:sz w:val="23"/>
          <w:szCs w:val="23"/>
        </w:rPr>
      </w:pPr>
      <w:hyperlink r:id="rId18" w:tooltip="Return to Work Guidelines" w:history="1">
        <w:r w:rsidRPr="004034AF">
          <w:rPr>
            <w:rFonts w:ascii="Arial" w:eastAsia="Times New Roman" w:hAnsi="Arial" w:cs="Arial"/>
            <w:color w:val="880088"/>
            <w:sz w:val="23"/>
            <w:szCs w:val="23"/>
            <w:u w:val="single"/>
          </w:rPr>
          <w:t>Return to Work Guidelines</w:t>
        </w:r>
      </w:hyperlink>
    </w:p>
    <w:p w:rsidR="004034AF" w:rsidRPr="004034AF" w:rsidRDefault="004034AF" w:rsidP="004034AF">
      <w:pPr>
        <w:shd w:val="clear" w:color="auto" w:fill="FFFFFF"/>
        <w:spacing w:after="0" w:line="240" w:lineRule="auto"/>
        <w:outlineLvl w:val="1"/>
        <w:rPr>
          <w:rFonts w:ascii="Arial" w:eastAsia="Times New Roman" w:hAnsi="Arial" w:cs="Arial"/>
          <w:b/>
          <w:bCs/>
          <w:color w:val="003366"/>
          <w:sz w:val="29"/>
          <w:szCs w:val="29"/>
        </w:rPr>
      </w:pPr>
      <w:r w:rsidRPr="004034AF">
        <w:rPr>
          <w:rFonts w:ascii="Arial" w:eastAsia="Times New Roman" w:hAnsi="Arial" w:cs="Arial"/>
          <w:b/>
          <w:bCs/>
          <w:color w:val="003366"/>
          <w:sz w:val="29"/>
          <w:szCs w:val="29"/>
        </w:rPr>
        <w:t>Return-to-Work Tools</w:t>
      </w:r>
    </w:p>
    <w:p w:rsidR="004034AF" w:rsidRPr="004034AF" w:rsidRDefault="004034AF" w:rsidP="004034AF">
      <w:pPr>
        <w:numPr>
          <w:ilvl w:val="0"/>
          <w:numId w:val="4"/>
        </w:numPr>
        <w:shd w:val="clear" w:color="auto" w:fill="FFFFFF"/>
        <w:spacing w:beforeAutospacing="1" w:after="0" w:afterAutospacing="1" w:line="336" w:lineRule="atLeast"/>
        <w:rPr>
          <w:rFonts w:ascii="Arial" w:eastAsia="Times New Roman" w:hAnsi="Arial" w:cs="Arial"/>
          <w:color w:val="000000"/>
          <w:sz w:val="23"/>
          <w:szCs w:val="23"/>
        </w:rPr>
      </w:pPr>
      <w:hyperlink r:id="rId19" w:tooltip="Making Return to Work - Work: For Your Business and Your Employees" w:history="1">
        <w:r w:rsidRPr="004034AF">
          <w:rPr>
            <w:rFonts w:ascii="Arial" w:eastAsia="Times New Roman" w:hAnsi="Arial" w:cs="Arial"/>
            <w:color w:val="880088"/>
            <w:sz w:val="23"/>
            <w:szCs w:val="23"/>
            <w:u w:val="single"/>
          </w:rPr>
          <w:t>Making Return to Work - Work: For Your Business and Your Employees (Return-to-Work Guide)</w:t>
        </w:r>
      </w:hyperlink>
      <w:r w:rsidRPr="004034AF">
        <w:rPr>
          <w:rFonts w:ascii="Arial" w:eastAsia="Times New Roman" w:hAnsi="Arial" w:cs="Arial"/>
          <w:color w:val="000000"/>
          <w:sz w:val="23"/>
          <w:szCs w:val="23"/>
        </w:rPr>
        <w:t>(PDF)</w:t>
      </w:r>
    </w:p>
    <w:p w:rsidR="004034AF" w:rsidRPr="004034AF" w:rsidRDefault="004034AF" w:rsidP="004034AF">
      <w:pPr>
        <w:numPr>
          <w:ilvl w:val="0"/>
          <w:numId w:val="4"/>
        </w:numPr>
        <w:shd w:val="clear" w:color="auto" w:fill="FFFFFF"/>
        <w:spacing w:beforeAutospacing="1" w:after="0" w:afterAutospacing="1" w:line="336" w:lineRule="atLeast"/>
        <w:rPr>
          <w:rFonts w:ascii="Arial" w:eastAsia="Times New Roman" w:hAnsi="Arial" w:cs="Arial"/>
          <w:color w:val="000000"/>
          <w:sz w:val="23"/>
          <w:szCs w:val="23"/>
        </w:rPr>
      </w:pPr>
      <w:hyperlink r:id="rId20" w:tooltip="Registry of Private Providers of Vocational Rehabilitation Services" w:history="1">
        <w:r w:rsidRPr="004034AF">
          <w:rPr>
            <w:rFonts w:ascii="Arial" w:eastAsia="Times New Roman" w:hAnsi="Arial" w:cs="Arial"/>
            <w:color w:val="880088"/>
            <w:sz w:val="23"/>
            <w:szCs w:val="23"/>
            <w:u w:val="single"/>
          </w:rPr>
          <w:t>Registry of Private Providers of Vocational Rehabilitation Services</w:t>
        </w:r>
      </w:hyperlink>
    </w:p>
    <w:p w:rsidR="004034AF" w:rsidRPr="004034AF" w:rsidRDefault="004034AF" w:rsidP="004034AF">
      <w:pPr>
        <w:numPr>
          <w:ilvl w:val="0"/>
          <w:numId w:val="4"/>
        </w:numPr>
        <w:shd w:val="clear" w:color="auto" w:fill="FFFFFF"/>
        <w:spacing w:beforeAutospacing="1" w:after="0" w:afterAutospacing="1" w:line="336" w:lineRule="atLeast"/>
        <w:rPr>
          <w:rFonts w:ascii="Arial" w:eastAsia="Times New Roman" w:hAnsi="Arial" w:cs="Arial"/>
          <w:color w:val="000000"/>
          <w:sz w:val="23"/>
          <w:szCs w:val="23"/>
        </w:rPr>
      </w:pPr>
      <w:hyperlink r:id="rId21" w:tooltip="Working Works - Employment Resources for Injured Employees" w:history="1">
        <w:r w:rsidRPr="004034AF">
          <w:rPr>
            <w:rFonts w:ascii="Arial" w:eastAsia="Times New Roman" w:hAnsi="Arial" w:cs="Arial"/>
            <w:color w:val="880088"/>
            <w:sz w:val="23"/>
            <w:szCs w:val="23"/>
            <w:u w:val="single"/>
          </w:rPr>
          <w:t>Working Works - Employment Resources for Injured Employees</w:t>
        </w:r>
      </w:hyperlink>
      <w:r w:rsidRPr="004034AF">
        <w:rPr>
          <w:rFonts w:ascii="Arial" w:eastAsia="Times New Roman" w:hAnsi="Arial" w:cs="Arial"/>
          <w:color w:val="000000"/>
          <w:sz w:val="23"/>
          <w:szCs w:val="23"/>
        </w:rPr>
        <w:t> (PDF)</w:t>
      </w:r>
    </w:p>
    <w:p w:rsidR="004034AF" w:rsidRPr="004034AF" w:rsidRDefault="004034AF" w:rsidP="004034AF">
      <w:pPr>
        <w:numPr>
          <w:ilvl w:val="0"/>
          <w:numId w:val="4"/>
        </w:numPr>
        <w:shd w:val="clear" w:color="auto" w:fill="FFFFFF"/>
        <w:spacing w:beforeAutospacing="1" w:after="0" w:afterAutospacing="1" w:line="336" w:lineRule="atLeast"/>
        <w:rPr>
          <w:rFonts w:ascii="Arial" w:eastAsia="Times New Roman" w:hAnsi="Arial" w:cs="Arial"/>
          <w:color w:val="000000"/>
          <w:sz w:val="23"/>
          <w:szCs w:val="23"/>
        </w:rPr>
      </w:pPr>
      <w:hyperlink r:id="rId22" w:tooltip="Injured Employee Return-to-Work Checklist" w:history="1">
        <w:r w:rsidRPr="004034AF">
          <w:rPr>
            <w:rFonts w:ascii="Arial" w:eastAsia="Times New Roman" w:hAnsi="Arial" w:cs="Arial"/>
            <w:color w:val="880088"/>
            <w:sz w:val="23"/>
            <w:szCs w:val="23"/>
            <w:u w:val="single"/>
          </w:rPr>
          <w:t>Injured Employee Return-to-Work Checklist</w:t>
        </w:r>
      </w:hyperlink>
    </w:p>
    <w:p w:rsidR="004034AF" w:rsidRPr="004034AF" w:rsidRDefault="004034AF" w:rsidP="004034AF">
      <w:pPr>
        <w:numPr>
          <w:ilvl w:val="0"/>
          <w:numId w:val="4"/>
        </w:numPr>
        <w:shd w:val="clear" w:color="auto" w:fill="FFFFFF"/>
        <w:spacing w:beforeAutospacing="1" w:after="0" w:afterAutospacing="1" w:line="336" w:lineRule="atLeast"/>
        <w:rPr>
          <w:rFonts w:ascii="Arial" w:eastAsia="Times New Roman" w:hAnsi="Arial" w:cs="Arial"/>
          <w:color w:val="000000"/>
          <w:sz w:val="23"/>
          <w:szCs w:val="23"/>
        </w:rPr>
      </w:pPr>
      <w:hyperlink r:id="rId23" w:tooltip="CARF Table of Work Hardening and Work Conditioning Programs Exempted from Preauthorization and Concurrent Review" w:history="1">
        <w:r w:rsidRPr="004034AF">
          <w:rPr>
            <w:rFonts w:ascii="Arial" w:eastAsia="Times New Roman" w:hAnsi="Arial" w:cs="Arial"/>
            <w:color w:val="880088"/>
            <w:sz w:val="23"/>
            <w:szCs w:val="23"/>
            <w:u w:val="single"/>
          </w:rPr>
          <w:t>CARF Accredited Work Conditioning and Work Hardening Programs Exempted from Preauthorization and Concurrent Review</w:t>
        </w:r>
      </w:hyperlink>
    </w:p>
    <w:p w:rsidR="004034AF" w:rsidRPr="004034AF" w:rsidRDefault="004034AF" w:rsidP="004034AF">
      <w:pPr>
        <w:numPr>
          <w:ilvl w:val="0"/>
          <w:numId w:val="4"/>
        </w:numPr>
        <w:shd w:val="clear" w:color="auto" w:fill="FFFFFF"/>
        <w:spacing w:beforeAutospacing="1" w:after="0" w:afterAutospacing="1" w:line="336" w:lineRule="atLeast"/>
        <w:rPr>
          <w:rFonts w:ascii="Arial" w:eastAsia="Times New Roman" w:hAnsi="Arial" w:cs="Arial"/>
          <w:color w:val="000000"/>
          <w:sz w:val="23"/>
          <w:szCs w:val="23"/>
        </w:rPr>
      </w:pPr>
      <w:hyperlink r:id="rId24" w:tooltip="CARF Q &amp; A's - Work Conditioning and Work Hardening, ODG and Preauthorization" w:history="1">
        <w:r w:rsidRPr="004034AF">
          <w:rPr>
            <w:rFonts w:ascii="Arial" w:eastAsia="Times New Roman" w:hAnsi="Arial" w:cs="Arial"/>
            <w:color w:val="880088"/>
            <w:sz w:val="23"/>
            <w:szCs w:val="23"/>
            <w:u w:val="single"/>
          </w:rPr>
          <w:t>CARF Q&amp;As - Work Conditioning &amp; Work Hardening, ODG and Preauthorization</w:t>
        </w:r>
      </w:hyperlink>
      <w:r w:rsidRPr="004034AF">
        <w:rPr>
          <w:rFonts w:ascii="Arial" w:eastAsia="Times New Roman" w:hAnsi="Arial" w:cs="Arial"/>
          <w:color w:val="000000"/>
          <w:sz w:val="23"/>
          <w:szCs w:val="23"/>
        </w:rPr>
        <w:t> (PDF)</w:t>
      </w:r>
    </w:p>
    <w:p w:rsidR="004034AF" w:rsidRPr="004034AF" w:rsidRDefault="004034AF" w:rsidP="004034AF">
      <w:pPr>
        <w:shd w:val="clear" w:color="auto" w:fill="FFFFFF"/>
        <w:spacing w:after="0" w:line="336" w:lineRule="atLeast"/>
        <w:rPr>
          <w:rFonts w:ascii="Arial" w:eastAsia="Times New Roman" w:hAnsi="Arial" w:cs="Arial"/>
          <w:color w:val="000000"/>
          <w:sz w:val="23"/>
          <w:szCs w:val="23"/>
        </w:rPr>
      </w:pPr>
      <w:r w:rsidRPr="004034AF">
        <w:rPr>
          <w:rFonts w:ascii="Arial" w:eastAsia="Times New Roman" w:hAnsi="Arial" w:cs="Arial"/>
          <w:color w:val="000000"/>
          <w:sz w:val="23"/>
          <w:szCs w:val="23"/>
        </w:rPr>
        <w:t>For information about booking a Return to Work presentation, contact the </w:t>
      </w:r>
      <w:hyperlink r:id="rId25" w:tooltip="TDI Speaker's Bureau" w:history="1">
        <w:r w:rsidRPr="004034AF">
          <w:rPr>
            <w:rFonts w:ascii="Arial" w:eastAsia="Times New Roman" w:hAnsi="Arial" w:cs="Arial"/>
            <w:color w:val="880088"/>
            <w:sz w:val="23"/>
            <w:szCs w:val="23"/>
            <w:u w:val="single"/>
          </w:rPr>
          <w:t>TDI Speaker's Bureau</w:t>
        </w:r>
      </w:hyperlink>
      <w:r w:rsidRPr="004034AF">
        <w:rPr>
          <w:rFonts w:ascii="Arial" w:eastAsia="Times New Roman" w:hAnsi="Arial" w:cs="Arial"/>
          <w:color w:val="000000"/>
          <w:sz w:val="23"/>
          <w:szCs w:val="23"/>
        </w:rPr>
        <w:t>.</w:t>
      </w:r>
    </w:p>
    <w:p w:rsidR="004034AF" w:rsidRPr="004034AF" w:rsidRDefault="004034AF" w:rsidP="004034AF">
      <w:pPr>
        <w:spacing w:after="0" w:line="240" w:lineRule="auto"/>
        <w:rPr>
          <w:rFonts w:ascii="Times New Roman" w:eastAsia="Times New Roman" w:hAnsi="Times New Roman" w:cs="Times New Roman"/>
          <w:sz w:val="24"/>
          <w:szCs w:val="24"/>
        </w:rPr>
      </w:pPr>
      <w:r w:rsidRPr="004034AF">
        <w:rPr>
          <w:rFonts w:ascii="Arial" w:eastAsia="Times New Roman" w:hAnsi="Arial" w:cs="Arial"/>
          <w:color w:val="000000"/>
          <w:sz w:val="23"/>
          <w:szCs w:val="23"/>
        </w:rPr>
        <w:br/>
      </w:r>
      <w:r w:rsidRPr="004034AF">
        <w:rPr>
          <w:rFonts w:ascii="Arial" w:eastAsia="Times New Roman" w:hAnsi="Arial" w:cs="Arial"/>
          <w:color w:val="000000"/>
          <w:sz w:val="23"/>
          <w:szCs w:val="23"/>
        </w:rPr>
        <w:br/>
      </w:r>
    </w:p>
    <w:p w:rsidR="004034AF" w:rsidRPr="004034AF" w:rsidRDefault="004034AF" w:rsidP="004034AF">
      <w:pPr>
        <w:shd w:val="clear" w:color="auto" w:fill="FFFFFF"/>
        <w:spacing w:after="0" w:line="336" w:lineRule="atLeast"/>
        <w:rPr>
          <w:rFonts w:ascii="Arial" w:eastAsia="Times New Roman" w:hAnsi="Arial" w:cs="Arial"/>
          <w:color w:val="000000"/>
          <w:sz w:val="23"/>
          <w:szCs w:val="23"/>
        </w:rPr>
      </w:pPr>
      <w:r w:rsidRPr="004034AF">
        <w:rPr>
          <w:rFonts w:ascii="Arial" w:eastAsia="Times New Roman" w:hAnsi="Arial" w:cs="Arial"/>
          <w:color w:val="000000"/>
          <w:sz w:val="23"/>
          <w:szCs w:val="23"/>
        </w:rPr>
        <w:t>For more information contact: </w:t>
      </w:r>
      <w:hyperlink r:id="rId26" w:tooltip="E-mail Pat.Crawford" w:history="1">
        <w:r w:rsidRPr="004034AF">
          <w:rPr>
            <w:rFonts w:ascii="Arial" w:eastAsia="Times New Roman" w:hAnsi="Arial" w:cs="Arial"/>
            <w:color w:val="880088"/>
            <w:sz w:val="23"/>
            <w:szCs w:val="23"/>
            <w:u w:val="single"/>
          </w:rPr>
          <w:t>Pat.Crawford@tdi.texas.gov</w:t>
        </w:r>
      </w:hyperlink>
    </w:p>
    <w:p w:rsidR="003F6060" w:rsidRDefault="003F6060">
      <w:bookmarkStart w:id="0" w:name="_GoBack"/>
      <w:bookmarkEnd w:id="0"/>
    </w:p>
    <w:sectPr w:rsidR="003F60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3365E4"/>
    <w:multiLevelType w:val="multilevel"/>
    <w:tmpl w:val="6A34D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C211660"/>
    <w:multiLevelType w:val="multilevel"/>
    <w:tmpl w:val="49DCF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3C25188"/>
    <w:multiLevelType w:val="multilevel"/>
    <w:tmpl w:val="33967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AC25B71"/>
    <w:multiLevelType w:val="multilevel"/>
    <w:tmpl w:val="AE42B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4AF"/>
    <w:rsid w:val="003F6060"/>
    <w:rsid w:val="00403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361E2B-EB7F-447C-BB74-BECC4850C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034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034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34A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034A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034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034AF"/>
    <w:rPr>
      <w:color w:val="0000FF"/>
      <w:u w:val="single"/>
    </w:rPr>
  </w:style>
  <w:style w:type="character" w:styleId="Strong">
    <w:name w:val="Strong"/>
    <w:basedOn w:val="DefaultParagraphFont"/>
    <w:uiPriority w:val="22"/>
    <w:qFormat/>
    <w:rsid w:val="004034AF"/>
    <w:rPr>
      <w:b/>
      <w:bCs/>
    </w:rPr>
  </w:style>
  <w:style w:type="character" w:customStyle="1" w:styleId="apple-converted-space">
    <w:name w:val="apple-converted-space"/>
    <w:basedOn w:val="DefaultParagraphFont"/>
    <w:rsid w:val="00403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55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di.texas.gov/wc/rtw/index.html" TargetMode="External"/><Relationship Id="rId13" Type="http://schemas.openxmlformats.org/officeDocument/2006/relationships/hyperlink" Target="http://www.tdi.texas.gov/forms/dwc/dwc001rpt.pdf" TargetMode="External"/><Relationship Id="rId18" Type="http://schemas.openxmlformats.org/officeDocument/2006/relationships/hyperlink" Target="http://www.mdguidelines.com/" TargetMode="External"/><Relationship Id="rId26" Type="http://schemas.openxmlformats.org/officeDocument/2006/relationships/hyperlink" Target="mailto:Pat.Crawford@tdi.texas.gov?subject=email_TDI" TargetMode="External"/><Relationship Id="rId3" Type="http://schemas.openxmlformats.org/officeDocument/2006/relationships/settings" Target="settings.xml"/><Relationship Id="rId21" Type="http://schemas.openxmlformats.org/officeDocument/2006/relationships/hyperlink" Target="http://www.tdi.texas.gov/wc/rtw/documents/wkgwks.pdf" TargetMode="External"/><Relationship Id="rId7" Type="http://schemas.openxmlformats.org/officeDocument/2006/relationships/hyperlink" Target="http://www.tdi.texas.gov/wc/rtw/index.html" TargetMode="External"/><Relationship Id="rId12" Type="http://schemas.openxmlformats.org/officeDocument/2006/relationships/hyperlink" Target="http://www.tdi.texas.gov/wc/rtw/documents/smlemplyrpilot.pdf" TargetMode="External"/><Relationship Id="rId17" Type="http://schemas.openxmlformats.org/officeDocument/2006/relationships/hyperlink" Target="http://info.sos.state.tx.us/pls/pub/readtac$ext.ViewTAC?tac_view=5&amp;ti=28&amp;pt=2&amp;ch=137&amp;sch=B&amp;rl=Y" TargetMode="External"/><Relationship Id="rId25" Type="http://schemas.openxmlformats.org/officeDocument/2006/relationships/hyperlink" Target="http://www.tdi.texas.gov/alert/speak.html" TargetMode="External"/><Relationship Id="rId2" Type="http://schemas.openxmlformats.org/officeDocument/2006/relationships/styles" Target="styles.xml"/><Relationship Id="rId16" Type="http://schemas.openxmlformats.org/officeDocument/2006/relationships/hyperlink" Target="http://www.tdi.texas.gov/forms/dwc/dwc074desc.pdf" TargetMode="External"/><Relationship Id="rId20" Type="http://schemas.openxmlformats.org/officeDocument/2006/relationships/hyperlink" Target="http://www.tdi.texas.gov/wc/rtw/registry.html" TargetMode="External"/><Relationship Id="rId1" Type="http://schemas.openxmlformats.org/officeDocument/2006/relationships/numbering" Target="numbering.xml"/><Relationship Id="rId6" Type="http://schemas.openxmlformats.org/officeDocument/2006/relationships/hyperlink" Target="http://www.tdi.texas.gov/wc/rtw/index.html" TargetMode="External"/><Relationship Id="rId11" Type="http://schemas.openxmlformats.org/officeDocument/2006/relationships/hyperlink" Target="http://www.tdi.texas.gov/wc/rtw/newrtw.html" TargetMode="External"/><Relationship Id="rId24" Type="http://schemas.openxmlformats.org/officeDocument/2006/relationships/hyperlink" Target="http://www.tdi.texas.gov/wc/dm/documents/carfqa.pdf" TargetMode="External"/><Relationship Id="rId5" Type="http://schemas.openxmlformats.org/officeDocument/2006/relationships/hyperlink" Target="http://www.tdi.texas.gov/wc/rtw/rtws.html" TargetMode="External"/><Relationship Id="rId15" Type="http://schemas.openxmlformats.org/officeDocument/2006/relationships/hyperlink" Target="http://www.tdi.texas.gov/forms/dwc/dwc073wkstat.pdf" TargetMode="External"/><Relationship Id="rId23" Type="http://schemas.openxmlformats.org/officeDocument/2006/relationships/hyperlink" Target="http://www.tdi.texas.gov/wc/dm/carf-table.html" TargetMode="External"/><Relationship Id="rId28" Type="http://schemas.openxmlformats.org/officeDocument/2006/relationships/theme" Target="theme/theme1.xml"/><Relationship Id="rId10" Type="http://schemas.openxmlformats.org/officeDocument/2006/relationships/hyperlink" Target="http://www.tdi.texas.gov/wc/rtw/rtwfaq.html" TargetMode="External"/><Relationship Id="rId19" Type="http://schemas.openxmlformats.org/officeDocument/2006/relationships/hyperlink" Target="http://www.tdi.texas.gov/wc/rtw/documents/rtwguide.pdf" TargetMode="External"/><Relationship Id="rId4" Type="http://schemas.openxmlformats.org/officeDocument/2006/relationships/webSettings" Target="webSettings.xml"/><Relationship Id="rId9" Type="http://schemas.openxmlformats.org/officeDocument/2006/relationships/hyperlink" Target="http://www.tdi.texas.gov/wc/rtw/index.html" TargetMode="External"/><Relationship Id="rId14" Type="http://schemas.openxmlformats.org/officeDocument/2006/relationships/hyperlink" Target="http://www.tdi.texas.gov/forms/form20employer.html" TargetMode="External"/><Relationship Id="rId22" Type="http://schemas.openxmlformats.org/officeDocument/2006/relationships/hyperlink" Target="http://www.tdi.texas.gov/wc/rtw/documents/iechecklist.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Builders Insurance Group</Company>
  <LinksUpToDate>false</LinksUpToDate>
  <CharactersWithSpaces>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 Xu</dc:creator>
  <cp:keywords/>
  <dc:description/>
  <cp:lastModifiedBy>Meng Xu</cp:lastModifiedBy>
  <cp:revision>1</cp:revision>
  <dcterms:created xsi:type="dcterms:W3CDTF">2015-02-10T15:04:00Z</dcterms:created>
  <dcterms:modified xsi:type="dcterms:W3CDTF">2015-02-10T15:05:00Z</dcterms:modified>
</cp:coreProperties>
</file>